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AD" w:rsidRPr="002D0EAD" w:rsidRDefault="002D0EAD" w:rsidP="002D0EAD">
      <w:pPr>
        <w:spacing w:before="300" w:after="150" w:line="378" w:lineRule="atLeast"/>
        <w:ind w:firstLine="284"/>
        <w:jc w:val="center"/>
        <w:rPr>
          <w:rFonts w:ascii="Arial" w:eastAsia="Times New Roman" w:hAnsi="Arial" w:cs="Arial"/>
          <w:b/>
          <w:color w:val="000000"/>
          <w:sz w:val="36"/>
          <w:szCs w:val="27"/>
        </w:rPr>
      </w:pPr>
      <w:r w:rsidRPr="002D0EAD">
        <w:rPr>
          <w:rFonts w:ascii="Arial" w:eastAsia="Times New Roman" w:hAnsi="Arial" w:cs="Arial"/>
          <w:b/>
          <w:color w:val="000000"/>
          <w:sz w:val="36"/>
          <w:szCs w:val="27"/>
        </w:rPr>
        <w:t>КОМПЛЕКС ГТО</w:t>
      </w:r>
    </w:p>
    <w:p w:rsidR="002D0EAD" w:rsidRPr="002D0EAD" w:rsidRDefault="002D0EAD" w:rsidP="002D0EAD">
      <w:pPr>
        <w:spacing w:before="300" w:after="150" w:line="378" w:lineRule="atLeast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0EAD">
        <w:rPr>
          <w:rFonts w:ascii="Arial" w:eastAsia="Times New Roman" w:hAnsi="Arial" w:cs="Arial"/>
          <w:color w:val="000000"/>
          <w:sz w:val="27"/>
          <w:szCs w:val="27"/>
        </w:rPr>
        <w:t>Всероссийский физкультурно-спортивный комплекс «Готов к труду и обороне» (ГТО) является программной и нормативной основой физического воспитания населения, предусматривает подготовку к выполнению и непосредственное выполнение различными возрастными группами населения России (от 6 до 70 лет и старше) установленных нормативов по 3 уровням трудности, соответствующим золотому, серебряному и бронзовому знакам отличия.</w:t>
      </w:r>
    </w:p>
    <w:p w:rsidR="002D0EAD" w:rsidRPr="002D0EAD" w:rsidRDefault="002D0EAD" w:rsidP="002D0EAD">
      <w:pPr>
        <w:spacing w:after="150" w:line="378" w:lineRule="atLeast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631190</wp:posOffset>
            </wp:positionV>
            <wp:extent cx="2968625" cy="2000250"/>
            <wp:effectExtent l="19050" t="0" r="3175" b="0"/>
            <wp:wrapTight wrapText="bothSides">
              <wp:wrapPolygon edited="0">
                <wp:start x="554" y="0"/>
                <wp:lineTo x="-139" y="1440"/>
                <wp:lineTo x="-139" y="19749"/>
                <wp:lineTo x="277" y="21394"/>
                <wp:lineTo x="554" y="21394"/>
                <wp:lineTo x="20930" y="21394"/>
                <wp:lineTo x="21207" y="21394"/>
                <wp:lineTo x="21623" y="20366"/>
                <wp:lineTo x="21623" y="1440"/>
                <wp:lineTo x="21346" y="206"/>
                <wp:lineTo x="20930" y="0"/>
                <wp:lineTo x="554" y="0"/>
              </wp:wrapPolygon>
            </wp:wrapTight>
            <wp:docPr id="5" name="Рисунок 2" descr="https://bsuedu.ru/bsu/social-activity/sport/gto/images/gt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uedu.ru/bsu/social-activity/sport/gto/images/gto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D0EAD">
        <w:rPr>
          <w:rFonts w:ascii="Arial" w:eastAsia="Times New Roman" w:hAnsi="Arial" w:cs="Arial"/>
          <w:color w:val="000000"/>
          <w:sz w:val="27"/>
          <w:szCs w:val="27"/>
        </w:rPr>
        <w:t xml:space="preserve">Комплекс «ГТО» состоит из 11 ступеней. Все контрольные испытания делятся </w:t>
      </w:r>
      <w:proofErr w:type="gramStart"/>
      <w:r w:rsidRPr="002D0EAD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2D0EAD">
        <w:rPr>
          <w:rFonts w:ascii="Arial" w:eastAsia="Times New Roman" w:hAnsi="Arial" w:cs="Arial"/>
          <w:color w:val="000000"/>
          <w:sz w:val="27"/>
          <w:szCs w:val="27"/>
        </w:rPr>
        <w:t xml:space="preserve"> обязательные и «по выбору». Обязательные испытания (тесты) в соответствии со ступенями структуры комплекса подразделяются на испытания по определению уровня развития:</w:t>
      </w:r>
      <w:r w:rsidRPr="002D0EAD">
        <w:rPr>
          <w:rFonts w:ascii="Arial" w:eastAsia="Times New Roman" w:hAnsi="Arial" w:cs="Arial"/>
          <w:noProof/>
          <w:color w:val="212121"/>
          <w:sz w:val="24"/>
          <w:szCs w:val="24"/>
        </w:rPr>
        <w:t xml:space="preserve"> </w:t>
      </w:r>
    </w:p>
    <w:p w:rsidR="002D0EAD" w:rsidRPr="002D0EAD" w:rsidRDefault="002D0EAD" w:rsidP="002D0EAD">
      <w:pPr>
        <w:numPr>
          <w:ilvl w:val="0"/>
          <w:numId w:val="1"/>
        </w:numPr>
        <w:spacing w:before="100" w:beforeAutospacing="1" w:after="75" w:line="336" w:lineRule="atLeast"/>
        <w:ind w:left="0" w:firstLine="284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D0EAD">
        <w:rPr>
          <w:rFonts w:ascii="Arial" w:eastAsia="Times New Roman" w:hAnsi="Arial" w:cs="Arial"/>
          <w:color w:val="212121"/>
          <w:sz w:val="24"/>
          <w:szCs w:val="24"/>
        </w:rPr>
        <w:t>скоростных возможностей,</w:t>
      </w:r>
    </w:p>
    <w:p w:rsidR="002D0EAD" w:rsidRPr="002D0EAD" w:rsidRDefault="002D0EAD" w:rsidP="002D0EAD">
      <w:pPr>
        <w:numPr>
          <w:ilvl w:val="0"/>
          <w:numId w:val="1"/>
        </w:numPr>
        <w:spacing w:before="100" w:beforeAutospacing="1" w:after="75" w:line="336" w:lineRule="atLeast"/>
        <w:ind w:left="0" w:firstLine="284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D0EAD">
        <w:rPr>
          <w:rFonts w:ascii="Arial" w:eastAsia="Times New Roman" w:hAnsi="Arial" w:cs="Arial"/>
          <w:color w:val="212121"/>
          <w:sz w:val="24"/>
          <w:szCs w:val="24"/>
        </w:rPr>
        <w:t>выносливости,</w:t>
      </w:r>
    </w:p>
    <w:p w:rsidR="002D0EAD" w:rsidRPr="002D0EAD" w:rsidRDefault="002D0EAD" w:rsidP="002D0EAD">
      <w:pPr>
        <w:numPr>
          <w:ilvl w:val="0"/>
          <w:numId w:val="1"/>
        </w:numPr>
        <w:spacing w:before="100" w:beforeAutospacing="1" w:after="75" w:line="336" w:lineRule="atLeast"/>
        <w:ind w:left="0" w:firstLine="284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D0EAD">
        <w:rPr>
          <w:rFonts w:ascii="Arial" w:eastAsia="Times New Roman" w:hAnsi="Arial" w:cs="Arial"/>
          <w:color w:val="212121"/>
          <w:sz w:val="24"/>
          <w:szCs w:val="24"/>
        </w:rPr>
        <w:t>силы,</w:t>
      </w:r>
    </w:p>
    <w:p w:rsidR="002D0EAD" w:rsidRPr="002D0EAD" w:rsidRDefault="002D0EAD" w:rsidP="002D0EAD">
      <w:pPr>
        <w:numPr>
          <w:ilvl w:val="0"/>
          <w:numId w:val="1"/>
        </w:numPr>
        <w:spacing w:before="100" w:beforeAutospacing="1" w:after="75" w:line="336" w:lineRule="atLeast"/>
        <w:ind w:left="0" w:firstLine="284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D0EAD">
        <w:rPr>
          <w:rFonts w:ascii="Arial" w:eastAsia="Times New Roman" w:hAnsi="Arial" w:cs="Arial"/>
          <w:color w:val="212121"/>
          <w:sz w:val="24"/>
          <w:szCs w:val="24"/>
        </w:rPr>
        <w:t>гибкости.</w:t>
      </w:r>
    </w:p>
    <w:p w:rsidR="002D0EAD" w:rsidRPr="002D0EAD" w:rsidRDefault="002D0EAD" w:rsidP="002D0EAD">
      <w:pPr>
        <w:spacing w:after="150" w:line="378" w:lineRule="atLeast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0EAD">
        <w:rPr>
          <w:rFonts w:ascii="Arial" w:eastAsia="Times New Roman" w:hAnsi="Arial" w:cs="Arial"/>
          <w:color w:val="000000"/>
          <w:sz w:val="27"/>
          <w:szCs w:val="27"/>
        </w:rPr>
        <w:t>Испытания «по выбору» подразделяются на тесты по определению уровня:</w:t>
      </w:r>
    </w:p>
    <w:p w:rsidR="002D0EAD" w:rsidRPr="002D0EAD" w:rsidRDefault="002D0EAD" w:rsidP="002D0EAD">
      <w:pPr>
        <w:numPr>
          <w:ilvl w:val="0"/>
          <w:numId w:val="2"/>
        </w:numPr>
        <w:spacing w:before="100" w:beforeAutospacing="1" w:after="75" w:line="336" w:lineRule="atLeast"/>
        <w:ind w:left="0" w:firstLine="284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D0EAD">
        <w:rPr>
          <w:rFonts w:ascii="Arial" w:eastAsia="Times New Roman" w:hAnsi="Arial" w:cs="Arial"/>
          <w:color w:val="212121"/>
          <w:sz w:val="24"/>
          <w:szCs w:val="24"/>
        </w:rPr>
        <w:t>развития скоростно-силовых возможностей,</w:t>
      </w:r>
    </w:p>
    <w:p w:rsidR="002D0EAD" w:rsidRPr="002D0EAD" w:rsidRDefault="002D0EAD" w:rsidP="002D0EAD">
      <w:pPr>
        <w:numPr>
          <w:ilvl w:val="0"/>
          <w:numId w:val="2"/>
        </w:numPr>
        <w:spacing w:before="100" w:beforeAutospacing="1" w:after="75" w:line="336" w:lineRule="atLeast"/>
        <w:ind w:left="0" w:firstLine="284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D0EAD">
        <w:rPr>
          <w:rFonts w:ascii="Arial" w:eastAsia="Times New Roman" w:hAnsi="Arial" w:cs="Arial"/>
          <w:color w:val="212121"/>
          <w:sz w:val="24"/>
          <w:szCs w:val="24"/>
        </w:rPr>
        <w:t>координационных способностей,</w:t>
      </w:r>
    </w:p>
    <w:p w:rsidR="002D0EAD" w:rsidRPr="002D0EAD" w:rsidRDefault="002D0EAD" w:rsidP="002D0EAD">
      <w:pPr>
        <w:numPr>
          <w:ilvl w:val="0"/>
          <w:numId w:val="2"/>
        </w:numPr>
        <w:spacing w:before="100" w:beforeAutospacing="1" w:after="75" w:line="336" w:lineRule="atLeast"/>
        <w:ind w:left="0" w:firstLine="284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D0EAD">
        <w:rPr>
          <w:rFonts w:ascii="Arial" w:eastAsia="Times New Roman" w:hAnsi="Arial" w:cs="Arial"/>
          <w:color w:val="212121"/>
          <w:sz w:val="24"/>
          <w:szCs w:val="24"/>
        </w:rPr>
        <w:t>овладения прикладными навыками.</w:t>
      </w:r>
    </w:p>
    <w:p w:rsidR="002D0EAD" w:rsidRPr="002D0EAD" w:rsidRDefault="002D0EAD" w:rsidP="002D0EAD">
      <w:pPr>
        <w:spacing w:after="150" w:line="378" w:lineRule="atLeast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67945</wp:posOffset>
            </wp:positionV>
            <wp:extent cx="3152775" cy="1924050"/>
            <wp:effectExtent l="19050" t="0" r="9525" b="0"/>
            <wp:wrapTight wrapText="bothSides">
              <wp:wrapPolygon edited="0">
                <wp:start x="522" y="0"/>
                <wp:lineTo x="-131" y="1497"/>
                <wp:lineTo x="-131" y="20531"/>
                <wp:lineTo x="392" y="21386"/>
                <wp:lineTo x="522" y="21386"/>
                <wp:lineTo x="21013" y="21386"/>
                <wp:lineTo x="21143" y="21386"/>
                <wp:lineTo x="21665" y="20745"/>
                <wp:lineTo x="21665" y="1497"/>
                <wp:lineTo x="21404" y="214"/>
                <wp:lineTo x="21013" y="0"/>
                <wp:lineTo x="522" y="0"/>
              </wp:wrapPolygon>
            </wp:wrapTight>
            <wp:docPr id="4" name="Рисунок 1" descr="https://bsuedu.ru/bsu/social-activity/sport/gto/images/g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uedu.ru/bsu/social-activity/sport/gto/images/gto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D0EAD">
        <w:rPr>
          <w:rFonts w:ascii="Arial" w:eastAsia="Times New Roman" w:hAnsi="Arial" w:cs="Arial"/>
          <w:color w:val="000000"/>
          <w:sz w:val="27"/>
          <w:szCs w:val="27"/>
        </w:rPr>
        <w:t xml:space="preserve">Белгородская область входит в число 12 </w:t>
      </w:r>
      <w:proofErr w:type="spellStart"/>
      <w:r w:rsidRPr="002D0EAD">
        <w:rPr>
          <w:rFonts w:ascii="Arial" w:eastAsia="Times New Roman" w:hAnsi="Arial" w:cs="Arial"/>
          <w:color w:val="000000"/>
          <w:sz w:val="27"/>
          <w:szCs w:val="27"/>
        </w:rPr>
        <w:t>пилотных</w:t>
      </w:r>
      <w:proofErr w:type="spellEnd"/>
      <w:r w:rsidRPr="002D0EAD">
        <w:rPr>
          <w:rFonts w:ascii="Arial" w:eastAsia="Times New Roman" w:hAnsi="Arial" w:cs="Arial"/>
          <w:color w:val="000000"/>
          <w:sz w:val="27"/>
          <w:szCs w:val="27"/>
        </w:rPr>
        <w:t xml:space="preserve"> субъектов, в которых внедрение Комплекса ГТО проводится с опережением на 1 год. НИУ «</w:t>
      </w:r>
      <w:proofErr w:type="spellStart"/>
      <w:r w:rsidRPr="002D0EAD">
        <w:rPr>
          <w:rFonts w:ascii="Arial" w:eastAsia="Times New Roman" w:hAnsi="Arial" w:cs="Arial"/>
          <w:color w:val="000000"/>
          <w:sz w:val="27"/>
          <w:szCs w:val="27"/>
        </w:rPr>
        <w:t>БелГУ</w:t>
      </w:r>
      <w:proofErr w:type="spellEnd"/>
      <w:r w:rsidRPr="002D0EAD">
        <w:rPr>
          <w:rFonts w:ascii="Arial" w:eastAsia="Times New Roman" w:hAnsi="Arial" w:cs="Arial"/>
          <w:color w:val="000000"/>
          <w:sz w:val="27"/>
          <w:szCs w:val="27"/>
        </w:rPr>
        <w:t>» принимает в проекте самое активное участие. С февраля 2015 года университет приступил к сдаче нормативов комплекса по лыжным гонкам.</w:t>
      </w:r>
    </w:p>
    <w:p w:rsidR="002D0EAD" w:rsidRPr="002D0EAD" w:rsidRDefault="002D0EAD" w:rsidP="002D0EAD">
      <w:pPr>
        <w:spacing w:after="150" w:line="378" w:lineRule="atLeast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D0EAD">
        <w:rPr>
          <w:rFonts w:ascii="Arial" w:eastAsia="Times New Roman" w:hAnsi="Arial" w:cs="Arial"/>
          <w:color w:val="000000"/>
          <w:sz w:val="27"/>
          <w:szCs w:val="27"/>
        </w:rPr>
        <w:t>На спортивных площадках университета проходят соревнования по многоборью ГТО в зачет Спартакиады обучающихся, Спартакиады преподавателей и сотрудников НИУ «</w:t>
      </w:r>
      <w:proofErr w:type="spellStart"/>
      <w:r w:rsidRPr="002D0EAD">
        <w:rPr>
          <w:rFonts w:ascii="Arial" w:eastAsia="Times New Roman" w:hAnsi="Arial" w:cs="Arial"/>
          <w:color w:val="000000"/>
          <w:sz w:val="27"/>
          <w:szCs w:val="27"/>
        </w:rPr>
        <w:t>БелГУ</w:t>
      </w:r>
      <w:proofErr w:type="spellEnd"/>
      <w:r w:rsidRPr="002D0EAD">
        <w:rPr>
          <w:rFonts w:ascii="Arial" w:eastAsia="Times New Roman" w:hAnsi="Arial" w:cs="Arial"/>
          <w:color w:val="000000"/>
          <w:sz w:val="27"/>
          <w:szCs w:val="27"/>
        </w:rPr>
        <w:t>».</w:t>
      </w:r>
    </w:p>
    <w:p w:rsidR="001B39D8" w:rsidRDefault="001B39D8"/>
    <w:sectPr w:rsidR="001B39D8" w:rsidSect="002D0E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547"/>
    <w:multiLevelType w:val="multilevel"/>
    <w:tmpl w:val="290A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D2D2D"/>
    <w:multiLevelType w:val="multilevel"/>
    <w:tmpl w:val="7D02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EAD"/>
    <w:rsid w:val="001B39D8"/>
    <w:rsid w:val="002D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lr">
    <w:name w:val="p-lr"/>
    <w:basedOn w:val="a"/>
    <w:rsid w:val="002D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2022-05-17T06:43:00Z</dcterms:created>
  <dcterms:modified xsi:type="dcterms:W3CDTF">2022-05-17T06:47:00Z</dcterms:modified>
</cp:coreProperties>
</file>